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85</w:t>
      </w:r>
    </w:p>
    <w:p>
      <w:r>
        <w:t>Bundesgericht (BGE), 1984-09-14, FR</w:t>
      </w:r>
    </w:p>
    <w:p>
      <w:r>
        <w:rPr>
          <w:b/>
        </w:rPr>
        <w:t xml:space="preserve">Quelle: </w:t>
      </w:r>
      <w:r>
        <w:t>https://mcp.opencaselaw.ch/entscheid/bge_110 IV 85</w:t>
      </w:r>
    </w:p>
    <w:p>
      <w:r>
        <w:t>FR: ATF 110 IV 85</w:t>
      </w:r>
    </w:p>
    <w:p>
      <w:r>
        <w:t>IT: DTF 110 IV 85</w:t>
      </w:r>
    </w:p>
    <w:p>
      <w:pPr>
        <w:pStyle w:val="Heading2"/>
      </w:pPr>
      <w:r>
        <w:t>Regeste</w:t>
      </w:r>
    </w:p>
    <w:p>
      <w:r>
        <w:t>Regeste Art. 153 und 154 StGB, Warenfälschung und Inverkehrbringen gefälschter Waren. Wer dem Wein Glyzerin beigibt, um ihm einen weicheren Charakter zu verleihen und dadurch den Absatz zu fördern, macht sich der Warenfälschung und des Inverkehrbringens gefälschter Waren schuldig.</w:t>
      </w:r>
    </w:p>
    <w:p>
      <w:pPr>
        <w:pStyle w:val="Heading2"/>
      </w:pPr>
      <w:r>
        <w:t>Erwägungen</w:t>
      </w:r>
    </w:p>
    <w:p>
      <w:r>
        <w:rPr>
          <w:b/>
        </w:rPr>
        <w:t>E. 2</w:t>
      </w:r>
    </w:p>
    <w:p>
      <w:r>
        <w:t>Le recourant ne conteste pas avoir ajouté de la glycérine dans des vins rouges de la maison X. Il admet que cette adjonction est contraire à l'ODA (RS 817.02). En revanche, il soutient qu'il n'a pas enfreint les art. 153 et 154 CP , car ajouter un produit interdit ne serait pas nécessairement constitutif d'une falsification. Il a tort. Selon la jurisprudence, en effet, il y a falsification de marchandise toutes les fois qu'on en modifie de façon illicite l'état naturel ( ATF 94 IV 109 consid. 3 et jurisprudence citée). Or c'est bien ce qu'a fait le recourant. Au mépris des règles fixées par l'ODA en matière de vin naturel - art. 334 ss, notamment 342 ODA -, il a cherché à augmenter le caractère moelleux de ces vins rouges, de façon artificielle par adjonction de glycérine. Ainsi, par son intervention illicite dans la substance du produit, il a favorisé la mise sur le marché de liquides qui ne présentaient plus les propriétés légales permettant la vente sous le nom de vin (voir SCHWANDER, Das Schweizerische Strafgesetzbuch, 2 éd., Berne 1964, p. 356 No 572; STRATENWERTH, Schweizerisches Strafrecht, part. spéc., vol. 1, 3e éd., Berne 1983, p. 263 No 25). Peu importe que la glycérine soit une substance qui se trouve déjà dans le vin à l'état naturel et qu'elle ne soit pas dangereuse pour la santé; soutenir l'inverse conduirait à permettre l'adjonction d'eau au lait sous prétexte que ce dernier, à l'état naturel, en contient. Peu importe également que les vins du recourant n'aient, selon lui, pas subi une diminution de valeur ( ATF 98 IV 191 ). Enfin, la prétendue tolérance du Laboratoire cantonal à l'égard de l'adjonction de glycérine dans les vins rouges ne repose pas sur des constatations de fait de l'arrêt attaqué. Ce moyen est ainsi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